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0.0" w:type="dxa"/>
        <w:tblLayout w:type="fixed"/>
        <w:tblLook w:val="0400"/>
      </w:tblPr>
      <w:tblGrid>
        <w:gridCol w:w="2835"/>
        <w:gridCol w:w="1560"/>
        <w:gridCol w:w="1417"/>
        <w:gridCol w:w="1276"/>
        <w:gridCol w:w="1984"/>
        <w:tblGridChange w:id="0">
          <w:tblGrid>
            <w:gridCol w:w="2835"/>
            <w:gridCol w:w="1560"/>
            <w:gridCol w:w="1417"/>
            <w:gridCol w:w="1276"/>
            <w:gridCol w:w="1984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Fiche Technique Produit 149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-30479</wp:posOffset>
                  </wp:positionV>
                  <wp:extent cx="1390650" cy="1696085"/>
                  <wp:effectExtent b="0" l="0" r="0" t="0"/>
                  <wp:wrapNone/>
                  <wp:docPr descr="Une image contenant alimentation&#10;&#10;Description générée avec un niveau de confiance très élevé" id="6" name="image1.jpg"/>
                  <a:graphic>
                    <a:graphicData uri="http://schemas.openxmlformats.org/drawingml/2006/picture">
                      <pic:pic>
                        <pic:nvPicPr>
                          <pic:cNvPr descr="Une image contenant alimentation&#10;&#10;Description générée avec un niveau de confiance très élevé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96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Mélange spécial Tempura 600g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4"/>
                <w:szCs w:val="24"/>
                <w:rtl w:val="0"/>
              </w:rPr>
              <w:t xml:space="preserve">Tempura Mix 600g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produit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149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Société productrice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Producing firm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Nisshin Foods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EAN 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4902110314564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douane(HS)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Customs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1901909990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Origine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Origin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Japon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Japan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Conditionnement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Conditionning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Sachet plastique avec zip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Plastic bag with zip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Produit bio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Organic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Composition et utilisation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0"/>
                <w:szCs w:val="20"/>
                <w:rtl w:val="0"/>
              </w:rPr>
              <w:t xml:space="preserve">Composition and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Ingrédients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Ingredients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Farine de blé, Amidon, Amidon modifié, Levure, Colorant (Annatto (E160b), Vitamine B2)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Wheat Flour, Starch, Modified Starch, Baking powder, Colouring agent (Annatto (E160b), Vitamin B2)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Allergènes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Allergens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Blé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Wheat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OGM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GMO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DLUO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Shelf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 mois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15 months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Conservation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Storage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Conserver à température ambiante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at room temperature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Après ouverture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Bien refermer et conserver au réfrigérateur.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Close well and keep refrigerated.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 d’emploi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Application advice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Valeurs nutritionnelles moyennes (pour 100g)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Nutrition facts (per 100g):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 énergétique moyenne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Average energy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1485 kJ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355 kcal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Matières grasses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Fat: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1,4g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Glucides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Carbohydrate: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76,8g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saturés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saturated: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0,29g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sucres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0,33g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Sel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Salt: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0,51g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Protéines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Protein: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8,7g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Informations logistiques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Logistic informations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Volume Net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Net volume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 Net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600g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Gross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619g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Colisage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15 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Net Weight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 kg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Dimensions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Dimensions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(P x L x H en 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27,9 x 34,4 x 15,4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Gross Weight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9,4 kg</w:t>
            </w:r>
          </w:p>
        </w:tc>
      </w:tr>
    </w:tbl>
    <w:p w:rsidR="00000000" w:rsidDel="00000000" w:rsidP="00000000" w:rsidRDefault="00000000" w:rsidRPr="00000000" w14:paraId="00000098">
      <w:pPr>
        <w:rPr>
          <w:color w:val="2e75b5"/>
        </w:rPr>
        <w:sectPr>
          <w:headerReference r:id="rId8" w:type="default"/>
          <w:footerReference r:id="rId9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right="141"/>
        <w:jc w:val="right"/>
        <w:rPr>
          <w:color w:val="2e75b5"/>
        </w:rPr>
      </w:pPr>
      <w:r w:rsidDel="00000000" w:rsidR="00000000" w:rsidRPr="00000000">
        <w:rPr>
          <w:sz w:val="20"/>
          <w:szCs w:val="20"/>
          <w:rtl w:val="0"/>
        </w:rPr>
        <w:t xml:space="preserve">Mis à jour : 22/04/2020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2e75b5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 w:val="1"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 w:val="1"/>
    <w:rsid w:val="004C5F4B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SksVfVIGW9EOuk32zYmN5L/sw==">AMUW2mVXj3tApzj2SqtECtqCED8mNyYg5u627F52ZsRjJ2ox4D9+LKaV0HsWcZHjq8/gP9EwMF5hTAqSa2j5JhMYagT093o1WP5IlkQmg37yG7XcfR5JWA4=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ABC118E-822B-4E85-91BF-141624A0640C}"/>
</file>

<file path=customXML/itemProps3.xml><?xml version="1.0" encoding="utf-8"?>
<ds:datastoreItem xmlns:ds="http://schemas.openxmlformats.org/officeDocument/2006/customXml" ds:itemID="{CF0AA840-98B3-4673-AC25-224C82948E27}"/>
</file>

<file path=customXML/itemProps4.xml><?xml version="1.0" encoding="utf-8"?>
<ds:datastoreItem xmlns:ds="http://schemas.openxmlformats.org/officeDocument/2006/customXml" ds:itemID="{BDA2FCC0-C093-407B-944F-9E3D5B71CED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Umami</dc:creator>
  <dcterms:created xsi:type="dcterms:W3CDTF">2018-01-16T09:13:00Z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