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0.0" w:type="dxa"/>
        <w:tblLayout w:type="fixed"/>
        <w:tblLook w:val="0400"/>
      </w:tblPr>
      <w:tblGrid>
        <w:gridCol w:w="2835"/>
        <w:gridCol w:w="1560"/>
        <w:gridCol w:w="1417"/>
        <w:gridCol w:w="1276"/>
        <w:gridCol w:w="1984"/>
        <w:tblGridChange w:id="0">
          <w:tblGrid>
            <w:gridCol w:w="2835"/>
            <w:gridCol w:w="1560"/>
            <w:gridCol w:w="1417"/>
            <w:gridCol w:w="1276"/>
            <w:gridCol w:w="1984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  <w:rtl w:val="0"/>
              </w:rPr>
              <w:t xml:space="preserve">Fiche Technique Produit 230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/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714500" cy="1714500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Wasabi râpé véritable en pâte 42g / 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4"/>
                <w:szCs w:val="24"/>
                <w:rtl w:val="0"/>
              </w:rPr>
              <w:t xml:space="preserve">Grated real wasabi paste 42g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produit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Société productrice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Producing firm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Kameya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EAN 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4901509906892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Code douane(HS)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Customs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2103909080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Origine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Origin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Japon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Japan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Conditionnement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Conditionning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Tube plastique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Plastic tube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Produit bio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Organic 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Composition et utilisation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f75b5"/>
                <w:sz w:val="20"/>
                <w:szCs w:val="20"/>
                <w:rtl w:val="0"/>
              </w:rPr>
              <w:t xml:space="preserve">Composition and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Ingrédients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Ingredients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Wasabi (environ 45%), Sorbitol, Fibre alimentaire, Amidon, Sel, Cyclodextrine, Arôme, Huile végétale (de soja), Acidifiant (E330), Colorant (E102, E133)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Wasabi (approx. 45%), Sorbitol, Dietary fiber, Starch, Salt, Cyclodextrin,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e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Flavouring, Vegetable Oil (of soybean), Acidulant (E330), Coloring Agents (E102, E133) 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Allergènes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Allergens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Soja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Soybean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OGM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GMO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DLUO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Shelf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i w:val="1"/>
                <w:color w:val="2e75b5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 an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1 year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Conservation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Storage conditions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Conserver à l'abri de la lumière, de la chaleur et de l'humidité.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Keep away from sunlight, heat and moisture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Après ouverture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f75b5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After opening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Conserver au réfrigérateur et consommer rapidement / </w:t>
            </w:r>
            <w:r w:rsidDel="00000000" w:rsidR="00000000" w:rsidRPr="00000000">
              <w:rPr>
                <w:i w:val="1"/>
                <w:color w:val="2e75b5"/>
                <w:sz w:val="20"/>
                <w:szCs w:val="20"/>
                <w:rtl w:val="0"/>
              </w:rPr>
              <w:t xml:space="preserve">Keep refrigerated. Once opened, use it as early as possible.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Description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Mode d’emploi / </w:t>
            </w:r>
            <w:r w:rsidDel="00000000" w:rsidR="00000000" w:rsidRPr="00000000">
              <w:rPr>
                <w:i w:val="1"/>
                <w:color w:val="2f75b5"/>
                <w:sz w:val="20"/>
                <w:szCs w:val="20"/>
                <w:rtl w:val="0"/>
              </w:rPr>
              <w:t xml:space="preserve">Application advice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Valeurs nutritionnelles moyennes (pour 100g)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Nutrition facts (per 100g):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Valeur énergétique moyenne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Average energy value: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958 kJ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229 kcal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Matières grasses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Fat: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0,9g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Glucides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Carbohydrate: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54,6g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saturés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saturated: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0,06g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dont sucres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with sugar: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1,4g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Sel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Salt: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5,4g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Protéines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Protein: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0,7g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Informations logistiques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Logistic informations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Volume Net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Net volume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/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 Net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42g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Gross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57g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Colisage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Net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Net Weight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0,42 kg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Dimensions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Dimensions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(P x L x H en cm)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 x 15,5 x 15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Poids Brut Colis /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f75b5"/>
                <w:sz w:val="20"/>
                <w:szCs w:val="20"/>
                <w:rtl w:val="0"/>
              </w:rPr>
              <w:t xml:space="preserve">Package Gross Weight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(kg)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0,6 kg</w:t>
            </w:r>
          </w:p>
        </w:tc>
      </w:tr>
    </w:tbl>
    <w:p w:rsidR="00000000" w:rsidDel="00000000" w:rsidP="00000000" w:rsidRDefault="00000000" w:rsidRPr="00000000" w14:paraId="00000099">
      <w:pPr>
        <w:pageBreakBefore w:val="0"/>
        <w:rPr>
          <w:color w:val="2e75b5"/>
        </w:rPr>
        <w:sectPr>
          <w:headerReference r:id="rId8" w:type="default"/>
          <w:footerReference r:id="rId9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jc w:val="right"/>
        <w:rPr>
          <w:color w:val="2e75b5"/>
        </w:rPr>
      </w:pPr>
      <w:r w:rsidDel="00000000" w:rsidR="00000000" w:rsidRPr="00000000">
        <w:rPr>
          <w:sz w:val="20"/>
          <w:szCs w:val="20"/>
          <w:rtl w:val="0"/>
        </w:rPr>
        <w:t xml:space="preserve">Mis à jour : 12/06/2020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color w:val="2e75b5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UMAMI SAS – 2, avenue Jean Moulin 94120 Fontenay-sous-Bois, France</w:t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 : +33 (0)1 43 94 97 91 – contact@umamiparis.com - www.umamiparis.com</w:t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SAS au capital de 425 000 euros – RCS 802 704 072 Créteil – SIRET : 802 704 072 00015 – TVA : FR25 802 704 072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19050</wp:posOffset>
          </wp:positionV>
          <wp:extent cx="1066800" cy="1066800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35A05"/>
  </w:style>
  <w:style w:type="paragraph" w:styleId="Pieddepage">
    <w:name w:val="footer"/>
    <w:basedOn w:val="Normal"/>
    <w:link w:val="PieddepageCar"/>
    <w:uiPriority w:val="99"/>
    <w:unhideWhenUsed w:val="1"/>
    <w:rsid w:val="00835A0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35A05"/>
  </w:style>
  <w:style w:type="paragraph" w:styleId="Sansinterligne">
    <w:name w:val="No Spacing"/>
    <w:uiPriority w:val="1"/>
    <w:qFormat w:val="1"/>
    <w:rsid w:val="0010290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 w:val="1"/>
    <w:rsid w:val="004C5F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C61D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C61D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P9d90/9WoE+QdxKYi6cPuQE7ug==">AMUW2mW/JRJrGonggrZ2RZrefLk6k600d3mCfYQsnEVHtC0a8oykfEx3gR++oxCOdSSHU19g9NgR5DZ66zQFOevyNPylbs3SqNdAjd+BO9zf1XzmgAuMERY=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7D8787A9B34CBEE88B62CDFBAA31" ma:contentTypeVersion="17" ma:contentTypeDescription="Create a new document." ma:contentTypeScope="" ma:versionID="b21f23bdfd02a39cebb54e1ce5b35e6c">
  <xsd:schema xmlns:xsd="http://www.w3.org/2001/XMLSchema" xmlns:xs="http://www.w3.org/2001/XMLSchema" xmlns:p="http://schemas.microsoft.com/office/2006/metadata/properties" xmlns:ns2="1389ee6b-b13a-473e-ba9e-e9e9b7e7113d" xmlns:ns3="0d68a0da-c7e4-4b40-97b8-6996033e060f" targetNamespace="http://schemas.microsoft.com/office/2006/metadata/properties" ma:root="true" ma:fieldsID="dfca9b8cca7879742b1888f9c2cc2e46" ns2:_="" ns3:_="">
    <xsd:import namespace="1389ee6b-b13a-473e-ba9e-e9e9b7e7113d"/>
    <xsd:import namespace="0d68a0da-c7e4-4b40-97b8-6996033e0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9ee6b-b13a-473e-ba9e-e9e9b7e71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abc394-0876-4e51-9f48-f0296825b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a0da-c7e4-4b40-97b8-6996033e0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770872c-3e38-4664-94f6-c804fc81fb39}" ma:internalName="TaxCatchAll" ma:showField="CatchAllData" ma:web="0d68a0da-c7e4-4b40-97b8-6996033e0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8a0da-c7e4-4b40-97b8-6996033e060f" xsi:nil="true"/>
    <lcf76f155ced4ddcb4097134ff3c332f xmlns="1389ee6b-b13a-473e-ba9e-e9e9b7e711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060AC2B-CF97-4A63-85FE-CC29A66AC19A}"/>
</file>

<file path=customXML/itemProps3.xml><?xml version="1.0" encoding="utf-8"?>
<ds:datastoreItem xmlns:ds="http://schemas.openxmlformats.org/officeDocument/2006/customXml" ds:itemID="{65A63330-3D73-404D-8587-A6C6FFB5DD50}"/>
</file>

<file path=customXML/itemProps4.xml><?xml version="1.0" encoding="utf-8"?>
<ds:datastoreItem xmlns:ds="http://schemas.openxmlformats.org/officeDocument/2006/customXml" ds:itemID="{559E2B24-A6A4-4613-B5C2-D577BBD40B4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Umami</dc:creator>
  <dcterms:created xsi:type="dcterms:W3CDTF">2017-05-04T12:57:00Z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0x010100B0227D8787A9B34CBEE88B62CDFBAA31</vt:lpwstr>
  </property>
</Properties>
</file>