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1"/>
        <w:gridCol w:w="1417"/>
        <w:gridCol w:w="1276"/>
        <w:gridCol w:w="1984"/>
        <w:gridCol w:w="1557"/>
      </w:tblGrid>
      <w:tr w:rsidR="002F43CF" w:rsidRPr="00835A05" w14:paraId="059D6D19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1B98" w14:textId="77777777" w:rsidR="002F43CF" w:rsidRPr="00835A05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5694" w14:textId="77777777" w:rsidR="002F43CF" w:rsidRPr="00835A05" w:rsidRDefault="002F43CF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71222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321</w:t>
            </w:r>
          </w:p>
        </w:tc>
      </w:tr>
      <w:tr w:rsidR="002F43CF" w:rsidRPr="00835A05" w14:paraId="1A079E45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F8FB" w14:textId="77777777" w:rsidR="002F43CF" w:rsidRPr="00835A05" w:rsidRDefault="002F43CF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25EB1" w14:textId="77777777" w:rsidR="002F43CF" w:rsidRPr="00835A05" w:rsidRDefault="002F43CF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2F43CF" w:rsidRPr="008950DB" w14:paraId="1EC7DB99" w14:textId="77777777" w:rsidTr="008B4A0C">
        <w:trPr>
          <w:gridAfter w:val="1"/>
          <w:wAfter w:w="1557" w:type="dxa"/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7B1C" w14:textId="50345B23" w:rsidR="002F43CF" w:rsidRPr="00A16D25" w:rsidRDefault="002F43CF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93858" wp14:editId="75307D82">
                  <wp:extent cx="716280" cy="1805940"/>
                  <wp:effectExtent l="0" t="0" r="7620" b="3810"/>
                  <wp:docPr id="4" name="Image 4" descr="Une image contenant texte, alcool, boiss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alcool, boisson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965C2FA" w14:textId="77777777" w:rsidR="002F43CF" w:rsidRDefault="002F43CF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1222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Bakasco - sauce pimentée au Yuzu 60ml</w:t>
            </w:r>
            <w:r w:rsidRPr="001841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5132A3EF" w14:textId="1ED4163C" w:rsidR="002F43CF" w:rsidRPr="002F43CF" w:rsidRDefault="002F43CF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43CF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Bakasco - Yuzu hot sauce 60ml</w:t>
            </w:r>
          </w:p>
        </w:tc>
      </w:tr>
      <w:tr w:rsidR="002F43CF" w:rsidRPr="00835A05" w14:paraId="0EAACB9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4032E7" w14:textId="77777777" w:rsidR="002F43CF" w:rsidRPr="002F43CF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BC35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1380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321</w:t>
            </w:r>
          </w:p>
        </w:tc>
      </w:tr>
      <w:tr w:rsidR="002F43CF" w:rsidRPr="0052059B" w14:paraId="44DC6AB7" w14:textId="77777777" w:rsidTr="008B4A0C">
        <w:trPr>
          <w:gridAfter w:val="1"/>
          <w:wAfter w:w="1557" w:type="dxa"/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9518BF7" w14:textId="77777777" w:rsidR="002F43CF" w:rsidRPr="00835A05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8736556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036F94" w14:textId="77777777" w:rsidR="002F43CF" w:rsidRPr="00B87F60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BANDO</w:t>
            </w:r>
          </w:p>
        </w:tc>
      </w:tr>
      <w:tr w:rsidR="002F43CF" w:rsidRPr="00835A05" w14:paraId="3AA38493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6F6C22D" w14:textId="77777777" w:rsidR="002F43CF" w:rsidRPr="00B87F60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0E11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743A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4580168441137</w:t>
            </w:r>
          </w:p>
        </w:tc>
      </w:tr>
      <w:tr w:rsidR="002F43CF" w:rsidRPr="00835A05" w14:paraId="63FA867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E21DB63" w14:textId="77777777" w:rsidR="002F43CF" w:rsidRPr="00835A05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EA3297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AA3AB97" w14:textId="7A6B06E1" w:rsidR="002F43CF" w:rsidRPr="00835A05" w:rsidRDefault="00010BE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0BE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2103909089</w:t>
            </w:r>
          </w:p>
        </w:tc>
      </w:tr>
      <w:tr w:rsidR="002F43CF" w:rsidRPr="00835A05" w14:paraId="2B8A313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D045493" w14:textId="77777777" w:rsidR="002F43CF" w:rsidRPr="00835A05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55BB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C7F7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2F43CF" w:rsidRPr="00FA0CB2" w14:paraId="47F2EB54" w14:textId="77777777" w:rsidTr="008B4A0C">
        <w:trPr>
          <w:gridAfter w:val="1"/>
          <w:wAfter w:w="1557" w:type="dxa"/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F8DCBD6" w14:textId="77777777" w:rsidR="002F43CF" w:rsidRPr="00835A05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DD1C2EF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301DC5" w14:textId="77777777" w:rsidR="002F43CF" w:rsidRPr="000E28F4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verre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712225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Glass bottle</w:t>
            </w:r>
          </w:p>
        </w:tc>
      </w:tr>
      <w:tr w:rsidR="002F43CF" w:rsidRPr="00835A05" w14:paraId="1CA6B2FF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D3ACA69" w14:textId="77777777" w:rsidR="002F43CF" w:rsidRPr="000E28F4" w:rsidRDefault="002F43CF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F044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3D89" w14:textId="77777777" w:rsidR="002F43CF" w:rsidRPr="00835A05" w:rsidRDefault="002F43CF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712225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2F43CF" w:rsidRPr="00835A05" w14:paraId="6D97402A" w14:textId="77777777" w:rsidTr="008B4A0C">
        <w:trPr>
          <w:gridAfter w:val="1"/>
          <w:wAfter w:w="1557" w:type="dxa"/>
          <w:trHeight w:val="257"/>
        </w:trPr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2DAECA" w14:textId="77777777" w:rsidR="002F43CF" w:rsidRPr="00835A05" w:rsidRDefault="002F43CF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2F43CF" w:rsidRPr="001841EA" w14:paraId="7FF0449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8581B8" w14:textId="77777777" w:rsidR="002F43CF" w:rsidRPr="007F78EC" w:rsidRDefault="002F43CF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2CE506D" w14:textId="44FF7121" w:rsidR="002F43CF" w:rsidRPr="001841EA" w:rsidRDefault="002F43CF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712225">
              <w:rPr>
                <w:noProof/>
                <w:sz w:val="20"/>
              </w:rPr>
              <w:t>Jus de Yuzu</w:t>
            </w:r>
            <w:r>
              <w:rPr>
                <w:noProof/>
                <w:sz w:val="20"/>
              </w:rPr>
              <w:t xml:space="preserve"> (60%)</w:t>
            </w:r>
            <w:r w:rsidRPr="00712225">
              <w:rPr>
                <w:noProof/>
                <w:sz w:val="20"/>
              </w:rPr>
              <w:t>, Vinaigre de Kaki</w:t>
            </w:r>
            <w:r>
              <w:rPr>
                <w:noProof/>
                <w:sz w:val="20"/>
              </w:rPr>
              <w:t xml:space="preserve"> (35%)</w:t>
            </w:r>
            <w:r w:rsidRPr="00712225">
              <w:rPr>
                <w:noProof/>
                <w:sz w:val="20"/>
              </w:rPr>
              <w:t>, Sel</w:t>
            </w:r>
            <w:r>
              <w:rPr>
                <w:noProof/>
                <w:sz w:val="20"/>
              </w:rPr>
              <w:t xml:space="preserve"> (4,75%)</w:t>
            </w:r>
            <w:r w:rsidRPr="00712225">
              <w:rPr>
                <w:noProof/>
                <w:sz w:val="20"/>
              </w:rPr>
              <w:t>, Ecorce de Yuzu</w:t>
            </w:r>
            <w:r>
              <w:rPr>
                <w:noProof/>
                <w:sz w:val="20"/>
              </w:rPr>
              <w:t xml:space="preserve"> (0,2%)</w:t>
            </w:r>
            <w:r w:rsidRPr="00712225">
              <w:rPr>
                <w:noProof/>
                <w:sz w:val="20"/>
              </w:rPr>
              <w:t>, Piment rouge</w:t>
            </w:r>
            <w:r>
              <w:rPr>
                <w:noProof/>
                <w:sz w:val="20"/>
              </w:rPr>
              <w:t xml:space="preserve"> (0,05%)</w:t>
            </w:r>
            <w:r w:rsidRPr="001841EA">
              <w:rPr>
                <w:sz w:val="20"/>
              </w:rPr>
              <w:t xml:space="preserve"> / </w:t>
            </w:r>
            <w:r w:rsidRPr="00712225">
              <w:rPr>
                <w:i/>
                <w:noProof/>
                <w:color w:val="2E74B5" w:themeColor="accent1" w:themeShade="BF"/>
                <w:sz w:val="20"/>
              </w:rPr>
              <w:t>Yuzu juice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(60%)</w:t>
            </w:r>
            <w:r w:rsidRPr="00712225">
              <w:rPr>
                <w:i/>
                <w:noProof/>
                <w:color w:val="2E74B5" w:themeColor="accent1" w:themeShade="BF"/>
                <w:sz w:val="20"/>
              </w:rPr>
              <w:t>, Kaki vinegar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(35%)</w:t>
            </w:r>
            <w:r w:rsidRPr="00712225">
              <w:rPr>
                <w:i/>
                <w:noProof/>
                <w:color w:val="2E74B5" w:themeColor="accent1" w:themeShade="BF"/>
                <w:sz w:val="20"/>
              </w:rPr>
              <w:t>, Salt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(4,75%)</w:t>
            </w:r>
            <w:r w:rsidRPr="00712225">
              <w:rPr>
                <w:i/>
                <w:noProof/>
                <w:color w:val="2E74B5" w:themeColor="accent1" w:themeShade="BF"/>
                <w:sz w:val="20"/>
              </w:rPr>
              <w:t>, Yuzu peel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(0,2%)</w:t>
            </w:r>
            <w:r w:rsidRPr="00712225">
              <w:rPr>
                <w:i/>
                <w:noProof/>
                <w:color w:val="2E74B5" w:themeColor="accent1" w:themeShade="BF"/>
                <w:sz w:val="20"/>
              </w:rPr>
              <w:t>, Red chili pepper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(0,05%)</w:t>
            </w:r>
            <w:r w:rsidRPr="001841EA">
              <w:rPr>
                <w:i/>
                <w:color w:val="2E74B5" w:themeColor="accent1" w:themeShade="BF"/>
                <w:sz w:val="20"/>
              </w:rPr>
              <w:t xml:space="preserve"> </w:t>
            </w:r>
          </w:p>
        </w:tc>
      </w:tr>
      <w:tr w:rsidR="002F43CF" w:rsidRPr="008B4A0C" w14:paraId="745276A5" w14:textId="77777777" w:rsidTr="008B4A0C">
        <w:trPr>
          <w:gridAfter w:val="1"/>
          <w:wAfter w:w="1557" w:type="dxa"/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F84D470" w14:textId="77777777" w:rsidR="002F43CF" w:rsidRPr="00C8313F" w:rsidRDefault="002F43CF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D69657" w14:textId="77777777" w:rsidR="002F43CF" w:rsidRPr="00EF0824" w:rsidRDefault="002F43CF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2F43CF" w:rsidRPr="00835A05" w14:paraId="463FBC15" w14:textId="77777777" w:rsidTr="008B4A0C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9E9F7D" w14:textId="77777777" w:rsidR="002F43CF" w:rsidRPr="007F78EC" w:rsidRDefault="002F43CF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2594883" w14:textId="761AB825" w:rsidR="002F43CF" w:rsidRPr="007F78EC" w:rsidRDefault="002F43CF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712225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2F43CF" w:rsidRPr="00835A05" w14:paraId="05D66F76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61F3A16" w14:textId="77777777" w:rsidR="002F43CF" w:rsidRPr="007F78EC" w:rsidRDefault="002F43CF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47042A45" w14:textId="77777777" w:rsidR="002F43CF" w:rsidRPr="007F78EC" w:rsidRDefault="002F43CF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71222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365 jours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712225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365 days</w:t>
            </w:r>
          </w:p>
        </w:tc>
      </w:tr>
      <w:tr w:rsidR="008950DB" w:rsidRPr="001841EA" w14:paraId="7AA450CD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7EC5E8" w14:textId="63C5E99D" w:rsidR="008950DB" w:rsidRPr="007F78EC" w:rsidRDefault="008950DB" w:rsidP="008950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before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07B0610" w14:textId="77777777" w:rsidR="008950DB" w:rsidRPr="00CF6843" w:rsidRDefault="008950DB" w:rsidP="008950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222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dans un endroit frais, à l'abri du soleil</w:t>
            </w:r>
            <w:r w:rsidRPr="005205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684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712225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in a cool place, away from sunlight</w:t>
            </w:r>
          </w:p>
        </w:tc>
      </w:tr>
      <w:tr w:rsidR="008950DB" w:rsidRPr="008950DB" w14:paraId="6FF119A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CBCC322" w14:textId="2B472EEF" w:rsidR="008950DB" w:rsidRPr="007F78EC" w:rsidRDefault="008950DB" w:rsidP="008950DB">
            <w:pPr>
              <w:pStyle w:val="Sansinterligne"/>
              <w:rPr>
                <w:color w:val="000000"/>
                <w:sz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 xml:space="preserve">près ouverture /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Storage conditions after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4096B02A" w14:textId="0FDD2118" w:rsidR="008950DB" w:rsidRPr="008950DB" w:rsidRDefault="008950DB" w:rsidP="008950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C</w:t>
            </w:r>
            <w:r w:rsidRPr="00712225">
              <w:rPr>
                <w:rFonts w:eastAsia="Times New Roman" w:cs="Times New Roman"/>
                <w:noProof/>
                <w:sz w:val="20"/>
                <w:szCs w:val="20"/>
              </w:rPr>
              <w:t>onserver au réfrigérateur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et </w:t>
            </w:r>
            <w:r w:rsidRPr="00FD5833">
              <w:rPr>
                <w:rFonts w:eastAsia="Times New Roman" w:cs="Times New Roman"/>
                <w:noProof/>
                <w:sz w:val="20"/>
                <w:szCs w:val="20"/>
              </w:rPr>
              <w:t xml:space="preserve">consommer 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dans un mois</w:t>
            </w:r>
            <w:r w:rsidRPr="00FD5833">
              <w:rPr>
                <w:rFonts w:eastAsia="Times New Roman" w:cs="Times New Roman"/>
                <w:noProof/>
                <w:sz w:val="20"/>
                <w:szCs w:val="20"/>
              </w:rPr>
              <w:t>.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57B5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950DB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/ </w:t>
            </w:r>
            <w:r w:rsidRPr="008950D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Keep refrigerated </w:t>
            </w:r>
            <w:r w:rsidRPr="008950D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and consume within one month.</w:t>
            </w:r>
          </w:p>
        </w:tc>
      </w:tr>
      <w:tr w:rsidR="002F43CF" w:rsidRPr="008715E1" w14:paraId="372B2954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7289DE" w14:textId="77777777" w:rsidR="002F43CF" w:rsidRPr="007F78EC" w:rsidRDefault="002F43CF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1FCDE9" w14:textId="4C88E346" w:rsidR="002F43CF" w:rsidRPr="008715E1" w:rsidRDefault="008715E1" w:rsidP="008715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Cette sauce est un</w:t>
            </w: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condensé du charme de Tokushima. Bakasco, dont le nom évoque évidemment le célèbre Tabasco, a été nommé d’après Bando (« Ba ») et Kawazoe (« Ka »), les deux producteurs</w:t>
            </w: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situés à Tokushima qui se sont associés pour créer ce condiment riche en saveur.</w:t>
            </w:r>
            <w:r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2F43CF" w:rsidRPr="008715E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/</w:t>
            </w:r>
            <w:r>
              <w:rPr>
                <w:sz w:val="20"/>
              </w:rPr>
              <w:t xml:space="preserve">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This sauce is full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of Tokushima charm.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Bakasco, whose name inevitably evokes the famous Tabasco, was named after Bando (“Ba”) and Kawazoe (“Ka”), the two Tokushima based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producers who partnered to create this flavorful condiment.</w:t>
            </w:r>
          </w:p>
        </w:tc>
      </w:tr>
      <w:tr w:rsidR="002F43CF" w:rsidRPr="008715E1" w14:paraId="3812087B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DD5283" w14:textId="77777777" w:rsidR="002F43CF" w:rsidRPr="007F78EC" w:rsidRDefault="002F43CF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B31AA4" w14:textId="7DE3A1D2" w:rsidR="002F43CF" w:rsidRPr="008715E1" w:rsidRDefault="008715E1" w:rsidP="008715E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715E1">
              <w:rPr>
                <w:rFonts w:eastAsia="Times New Roman" w:cs="Times New Roman"/>
                <w:noProof/>
                <w:sz w:val="20"/>
                <w:szCs w:val="20"/>
              </w:rPr>
              <w:t>Utilisez</w:t>
            </w:r>
            <w:r w:rsidRPr="008715E1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noProof/>
                <w:sz w:val="20"/>
                <w:szCs w:val="20"/>
              </w:rPr>
              <w:t>cette sauce avec un burger, des tacos, pour assaisonner un tartare de boeuf, un ceviche, un carpaccio ou un gaspacho. On peut également l’ajouter dans un bouillon de nouilles</w:t>
            </w:r>
            <w:r w:rsidRPr="008715E1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noProof/>
                <w:sz w:val="20"/>
                <w:szCs w:val="20"/>
              </w:rPr>
              <w:t>ramen ou udon.</w:t>
            </w:r>
            <w:r w:rsidR="002F43CF" w:rsidRPr="008715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Use this hot sauce with a burger,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tacos, to season a beef tartar, a ceviche, a carpaccio or a gazpacho. </w:t>
            </w:r>
            <w:r w:rsidRPr="008715E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This sauce can also be added to a ramen or udon broth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.</w:t>
            </w:r>
          </w:p>
        </w:tc>
      </w:tr>
      <w:tr w:rsidR="002F43CF" w:rsidRPr="008715E1" w14:paraId="0BE549B3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16C0" w14:textId="77777777" w:rsidR="002F43CF" w:rsidRPr="008715E1" w:rsidRDefault="002F43CF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182D6" w14:textId="77777777" w:rsidR="002F43CF" w:rsidRPr="008715E1" w:rsidRDefault="002F43CF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F43CF" w:rsidRPr="00835A05" w14:paraId="6D3C6F29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491876" w14:textId="77777777" w:rsidR="002F43CF" w:rsidRPr="00835A05" w:rsidRDefault="002F43CF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100ml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712225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100ml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2F43CF" w:rsidRPr="00835A05" w14:paraId="74CA487C" w14:textId="77777777" w:rsidTr="008B4A0C">
        <w:trPr>
          <w:gridAfter w:val="1"/>
          <w:wAfter w:w="1557" w:type="dxa"/>
          <w:trHeight w:val="257"/>
        </w:trPr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16152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F5024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6E9D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2F43CF" w:rsidRPr="00835A05" w14:paraId="3AA154C0" w14:textId="77777777" w:rsidTr="008B4A0C">
        <w:trPr>
          <w:gridAfter w:val="1"/>
          <w:wAfter w:w="1557" w:type="dxa"/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B9E1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Lipides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7E4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2,33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986C9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A883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5,17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2F43CF" w:rsidRPr="00835A05" w14:paraId="535176FF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1534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25B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F58E6D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BEB1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2F43CF" w:rsidRPr="00835A05" w14:paraId="559F9610" w14:textId="77777777" w:rsidTr="008B4A0C">
        <w:trPr>
          <w:gridAfter w:val="1"/>
          <w:wAfter w:w="1557" w:type="dxa"/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4F07A6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48A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4,67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44ED813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37DA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0,83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2F43CF" w:rsidRPr="00835A05" w14:paraId="2A2E34AB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64CC4FE" w14:textId="77777777" w:rsidR="002F43CF" w:rsidRPr="00835A05" w:rsidRDefault="002F43CF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2F43CF" w:rsidRPr="00835A05" w14:paraId="3D1DCCB1" w14:textId="77777777" w:rsidTr="008B4A0C">
        <w:trPr>
          <w:gridAfter w:val="1"/>
          <w:wAfter w:w="1557" w:type="dxa"/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4948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BBC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60ml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3BC733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5C970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61,32g</w:t>
            </w:r>
          </w:p>
        </w:tc>
      </w:tr>
      <w:tr w:rsidR="002F43CF" w:rsidRPr="00835A05" w14:paraId="07DCEDB6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77A5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A82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161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9C7B2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B3EFC37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89E5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43CF" w:rsidRPr="00835A05" w14:paraId="4E3A095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1896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88C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E7578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D68CA" w14:textId="0E4FD535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1,47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2F43CF" w:rsidRPr="00835A05" w14:paraId="1E43CB35" w14:textId="77777777" w:rsidTr="008B4A0C">
        <w:trPr>
          <w:gridAfter w:val="1"/>
          <w:wAfter w:w="1557" w:type="dxa"/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842C8A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1E2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16,5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24,5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690D3F9" w14:textId="77777777" w:rsidR="002F43CF" w:rsidRPr="00835A05" w:rsidRDefault="002F43CF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0CC20" w14:textId="77777777" w:rsidR="002F43CF" w:rsidRPr="00835A05" w:rsidRDefault="002F43CF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22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4,05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4969F3F7" w14:textId="2F6B03A4" w:rsidR="002F43CF" w:rsidRPr="003A61E4" w:rsidRDefault="00242604" w:rsidP="008715E1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010BE1">
        <w:rPr>
          <w:sz w:val="20"/>
          <w:szCs w:val="20"/>
        </w:rPr>
        <w:t>2</w:t>
      </w:r>
      <w:r w:rsidR="00F164B0">
        <w:rPr>
          <w:sz w:val="20"/>
          <w:szCs w:val="20"/>
        </w:rPr>
        <w:t>2</w:t>
      </w:r>
      <w:r>
        <w:rPr>
          <w:sz w:val="20"/>
          <w:szCs w:val="20"/>
        </w:rPr>
        <w:t>/0</w:t>
      </w:r>
      <w:r w:rsidR="00F164B0">
        <w:rPr>
          <w:sz w:val="20"/>
          <w:szCs w:val="20"/>
        </w:rPr>
        <w:t>8</w:t>
      </w:r>
      <w:r>
        <w:rPr>
          <w:sz w:val="20"/>
          <w:szCs w:val="20"/>
        </w:rPr>
        <w:t>/2022</w:t>
      </w:r>
    </w:p>
    <w:sectPr w:rsidR="002F43CF" w:rsidRPr="003A61E4" w:rsidSect="002F43C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CA57" w14:textId="77777777" w:rsidR="003B3FAA" w:rsidRDefault="003B3FAA" w:rsidP="00835A05">
      <w:pPr>
        <w:spacing w:after="0" w:line="240" w:lineRule="auto"/>
      </w:pPr>
      <w:r>
        <w:separator/>
      </w:r>
    </w:p>
  </w:endnote>
  <w:endnote w:type="continuationSeparator" w:id="0">
    <w:p w14:paraId="7A680CC6" w14:textId="77777777" w:rsidR="003B3FAA" w:rsidRDefault="003B3FAA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6076" w14:textId="77777777" w:rsidR="00580338" w:rsidRPr="00835A05" w:rsidRDefault="00580338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42B75D3E" w14:textId="77777777" w:rsidR="00580338" w:rsidRPr="00290ECF" w:rsidRDefault="00580338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0F80ED37" w14:textId="77777777" w:rsidR="00580338" w:rsidRPr="00835A05" w:rsidRDefault="00580338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746E" w14:textId="77777777" w:rsidR="003B3FAA" w:rsidRDefault="003B3FAA" w:rsidP="00835A05">
      <w:pPr>
        <w:spacing w:after="0" w:line="240" w:lineRule="auto"/>
      </w:pPr>
      <w:r>
        <w:separator/>
      </w:r>
    </w:p>
  </w:footnote>
  <w:footnote w:type="continuationSeparator" w:id="0">
    <w:p w14:paraId="7A7B8E9B" w14:textId="77777777" w:rsidR="003B3FAA" w:rsidRDefault="003B3FAA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64D3" w14:textId="77777777" w:rsidR="00580338" w:rsidRDefault="0058033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7717A4A" wp14:editId="676D4604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0BE1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338A0"/>
    <w:rsid w:val="00143E71"/>
    <w:rsid w:val="001752E9"/>
    <w:rsid w:val="00176F13"/>
    <w:rsid w:val="00177D4D"/>
    <w:rsid w:val="00177E9D"/>
    <w:rsid w:val="001841EA"/>
    <w:rsid w:val="001A1093"/>
    <w:rsid w:val="001A7705"/>
    <w:rsid w:val="001B5C5E"/>
    <w:rsid w:val="001E2AA0"/>
    <w:rsid w:val="001E40A4"/>
    <w:rsid w:val="001F136A"/>
    <w:rsid w:val="00230451"/>
    <w:rsid w:val="00233AA7"/>
    <w:rsid w:val="002404CC"/>
    <w:rsid w:val="00242604"/>
    <w:rsid w:val="00247A84"/>
    <w:rsid w:val="002679C3"/>
    <w:rsid w:val="00285FE8"/>
    <w:rsid w:val="00290ECF"/>
    <w:rsid w:val="002B057E"/>
    <w:rsid w:val="002B5290"/>
    <w:rsid w:val="002D13ED"/>
    <w:rsid w:val="002E2F42"/>
    <w:rsid w:val="002F43CF"/>
    <w:rsid w:val="00303997"/>
    <w:rsid w:val="003307F6"/>
    <w:rsid w:val="00330AB6"/>
    <w:rsid w:val="003358DA"/>
    <w:rsid w:val="00362FE6"/>
    <w:rsid w:val="003828ED"/>
    <w:rsid w:val="0038631F"/>
    <w:rsid w:val="003968B6"/>
    <w:rsid w:val="00397B12"/>
    <w:rsid w:val="003A61E4"/>
    <w:rsid w:val="003B3FAA"/>
    <w:rsid w:val="003B6644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2059B"/>
    <w:rsid w:val="005456FF"/>
    <w:rsid w:val="00554429"/>
    <w:rsid w:val="0057704C"/>
    <w:rsid w:val="00580338"/>
    <w:rsid w:val="00584488"/>
    <w:rsid w:val="005A7ABA"/>
    <w:rsid w:val="005B45B3"/>
    <w:rsid w:val="005B5A18"/>
    <w:rsid w:val="005D12D5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00F90"/>
    <w:rsid w:val="00821FCF"/>
    <w:rsid w:val="00833211"/>
    <w:rsid w:val="00835A05"/>
    <w:rsid w:val="00843661"/>
    <w:rsid w:val="008660CB"/>
    <w:rsid w:val="008715E1"/>
    <w:rsid w:val="008950DB"/>
    <w:rsid w:val="008A6DFE"/>
    <w:rsid w:val="008B4A0C"/>
    <w:rsid w:val="008C2EC5"/>
    <w:rsid w:val="008C43E4"/>
    <w:rsid w:val="008E60E1"/>
    <w:rsid w:val="008F1E33"/>
    <w:rsid w:val="009010CC"/>
    <w:rsid w:val="00907902"/>
    <w:rsid w:val="00925C55"/>
    <w:rsid w:val="009510DE"/>
    <w:rsid w:val="00957B5C"/>
    <w:rsid w:val="00963852"/>
    <w:rsid w:val="00996056"/>
    <w:rsid w:val="0099660B"/>
    <w:rsid w:val="009A09E6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6B8E"/>
    <w:rsid w:val="00B27070"/>
    <w:rsid w:val="00B56DBA"/>
    <w:rsid w:val="00B633AC"/>
    <w:rsid w:val="00B85A93"/>
    <w:rsid w:val="00B85C9B"/>
    <w:rsid w:val="00B87F60"/>
    <w:rsid w:val="00B95906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CF6843"/>
    <w:rsid w:val="00D00900"/>
    <w:rsid w:val="00D12139"/>
    <w:rsid w:val="00D53A75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164B0"/>
    <w:rsid w:val="00F4249F"/>
    <w:rsid w:val="00F850EE"/>
    <w:rsid w:val="00F87B54"/>
    <w:rsid w:val="00FA0CB2"/>
    <w:rsid w:val="00FA25CB"/>
    <w:rsid w:val="00FA297B"/>
    <w:rsid w:val="00FA725B"/>
    <w:rsid w:val="00FC2FE6"/>
    <w:rsid w:val="00FC7902"/>
    <w:rsid w:val="00FD48FF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1B852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7564B-8AB2-4A45-A7D3-0609A6935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D5780-7238-4EA1-8DBE-A6F5E984F806}"/>
</file>

<file path=customXml/itemProps3.xml><?xml version="1.0" encoding="utf-8"?>
<ds:datastoreItem xmlns:ds="http://schemas.openxmlformats.org/officeDocument/2006/customXml" ds:itemID="{81C22DBA-74E7-4109-BB7F-8110833E2E08}"/>
</file>

<file path=customXml/itemProps4.xml><?xml version="1.0" encoding="utf-8"?>
<ds:datastoreItem xmlns:ds="http://schemas.openxmlformats.org/officeDocument/2006/customXml" ds:itemID="{ADF163BA-FEC2-4E1C-9649-994F92B8E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5</cp:revision>
  <dcterms:created xsi:type="dcterms:W3CDTF">2022-02-03T15:30:00Z</dcterms:created>
  <dcterms:modified xsi:type="dcterms:W3CDTF">2022-08-22T12:50:00Z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