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21"/>
        <w:gridCol w:w="1417"/>
        <w:gridCol w:w="1276"/>
        <w:gridCol w:w="1984"/>
      </w:tblGrid>
      <w:tr w:rsidR="00E632C6" w:rsidRPr="00835A05" w14:paraId="425DDA55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054F" w14:textId="77777777" w:rsidR="00E632C6" w:rsidRPr="00835A05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AA80D" w14:textId="77777777" w:rsidR="00E632C6" w:rsidRPr="00835A05" w:rsidRDefault="00E632C6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8E32E4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636</w:t>
            </w:r>
          </w:p>
        </w:tc>
      </w:tr>
      <w:tr w:rsidR="00E632C6" w:rsidRPr="00835A05" w14:paraId="60B70206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DC007" w14:textId="77777777" w:rsidR="00E632C6" w:rsidRPr="00835A05" w:rsidRDefault="00E632C6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09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C9B84" w14:textId="77777777" w:rsidR="00E632C6" w:rsidRPr="00835A05" w:rsidRDefault="00E632C6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E632C6" w:rsidRPr="00471041" w14:paraId="17BF9634" w14:textId="77777777" w:rsidTr="00E632C6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8FAC" w14:textId="73195F2A" w:rsidR="00E632C6" w:rsidRPr="00A16D25" w:rsidRDefault="00E632C6" w:rsidP="00A16D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64B3A3" wp14:editId="38D17923">
                  <wp:extent cx="1371600" cy="1828800"/>
                  <wp:effectExtent l="0" t="0" r="0" b="0"/>
                  <wp:docPr id="3" name="Image 3" descr="Une image contenant intérieur, conteneur, plastique, ver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intérieur, conteneur, plastique, verre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B11FEDD" w14:textId="77777777" w:rsidR="00E632C6" w:rsidRDefault="00E632C6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32E4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Furikake Nori "Nihon Kaisui" 500g</w:t>
            </w:r>
            <w:r w:rsidRPr="00252E2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/ </w:t>
            </w:r>
          </w:p>
          <w:p w14:paraId="06F59E1E" w14:textId="71865FB1" w:rsidR="00E632C6" w:rsidRPr="00252E27" w:rsidRDefault="00E632C6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32E4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  <w:lang w:val="en-US"/>
              </w:rPr>
              <w:t>Furikake Nori "Nihon Kaisui" 500g</w:t>
            </w:r>
          </w:p>
        </w:tc>
      </w:tr>
      <w:tr w:rsidR="00E632C6" w:rsidRPr="00835A05" w14:paraId="15D5EF60" w14:textId="77777777" w:rsidTr="00E632C6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BF2104D" w14:textId="77777777" w:rsidR="00E632C6" w:rsidRPr="00252E27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8116C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1F99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636</w:t>
            </w:r>
          </w:p>
        </w:tc>
      </w:tr>
      <w:tr w:rsidR="00E632C6" w:rsidRPr="0052059B" w14:paraId="5630B798" w14:textId="77777777" w:rsidTr="00E632C6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B4CFFFB" w14:textId="77777777" w:rsidR="00E632C6" w:rsidRPr="00835A05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4050C4F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firm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0B62185" w14:textId="77777777" w:rsidR="00E632C6" w:rsidRPr="00B87F60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Nihon Kaisui</w:t>
            </w:r>
          </w:p>
        </w:tc>
      </w:tr>
      <w:tr w:rsidR="00E632C6" w:rsidRPr="00835A05" w14:paraId="66C016A4" w14:textId="77777777" w:rsidTr="00E632C6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600189D" w14:textId="77777777" w:rsidR="00E632C6" w:rsidRPr="00B87F60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D0311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A0AF" w14:textId="6720D273" w:rsidR="00E632C6" w:rsidRPr="00835A05" w:rsidRDefault="00471041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104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4997483400341</w:t>
            </w:r>
          </w:p>
        </w:tc>
      </w:tr>
      <w:tr w:rsidR="00E632C6" w:rsidRPr="00835A05" w14:paraId="78EDC07C" w14:textId="77777777" w:rsidTr="00E632C6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316CD7" w14:textId="77777777" w:rsidR="00E632C6" w:rsidRPr="00835A05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D295715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</w:t>
            </w: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douane(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5FEBEE2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2008199940</w:t>
            </w:r>
          </w:p>
        </w:tc>
      </w:tr>
      <w:tr w:rsidR="00E632C6" w:rsidRPr="00835A05" w14:paraId="31D4F200" w14:textId="77777777" w:rsidTr="00E632C6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3FE53D3" w14:textId="77777777" w:rsidR="00E632C6" w:rsidRPr="00835A05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AC61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BE034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E632C6" w:rsidRPr="00FA0CB2" w14:paraId="07F2161F" w14:textId="77777777" w:rsidTr="00E632C6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154ABF0" w14:textId="77777777" w:rsidR="00E632C6" w:rsidRPr="00835A05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854EA08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CA31890" w14:textId="77777777" w:rsidR="00E632C6" w:rsidRPr="000E28F4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Sachet aluminium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8E32E4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Alminium Bag</w:t>
            </w:r>
          </w:p>
        </w:tc>
      </w:tr>
      <w:tr w:rsidR="00E632C6" w:rsidRPr="00835A05" w14:paraId="004DFC73" w14:textId="77777777" w:rsidTr="00E632C6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D475383" w14:textId="77777777" w:rsidR="00E632C6" w:rsidRPr="000E28F4" w:rsidRDefault="00E632C6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BC7E4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0670C" w14:textId="77777777" w:rsidR="00E632C6" w:rsidRPr="00835A05" w:rsidRDefault="00E632C6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8E32E4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E632C6" w:rsidRPr="00835A05" w14:paraId="37AF2135" w14:textId="77777777" w:rsidTr="00E632C6">
        <w:trPr>
          <w:trHeight w:val="257"/>
        </w:trPr>
        <w:tc>
          <w:tcPr>
            <w:tcW w:w="8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ADA6706" w14:textId="77777777" w:rsidR="00E632C6" w:rsidRPr="00835A05" w:rsidRDefault="00E632C6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B40218" w:rsidRPr="001841EA" w14:paraId="7C165B24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499AFD1" w14:textId="77777777" w:rsidR="00B40218" w:rsidRPr="007F78EC" w:rsidRDefault="00B40218" w:rsidP="00B40218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Ingredients</w:t>
            </w:r>
            <w:proofErr w:type="spellEnd"/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6FABC4B" w14:textId="0D294FC8" w:rsidR="00B40218" w:rsidRPr="001841EA" w:rsidRDefault="00B40218" w:rsidP="00B40218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273DE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Sésame blanc (55,76%), Sésame noir (17,88%), Nori (11,07%), Sucre (4,29%), Algue aosa (3%), Sel (2,86%), Exhausteur de goût (E621) (2,14%), Assaisonnement fermenté (Sirop de glucose, Riz, Alcool, Koji de riz, Sel) (1,79%), Sauce soja (Soja dégraissé, Blé, Sel, Sucre)(1,19%)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  <w:r w:rsidRPr="00273DE5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/</w:t>
            </w:r>
            <w:r w:rsidRPr="001841EA">
              <w:rPr>
                <w:sz w:val="20"/>
              </w:rPr>
              <w:t xml:space="preserve"> </w:t>
            </w:r>
            <w:r w:rsidRPr="00273DE5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White sesame (55,76%), Black sesame (17,88%), Nori (11,07%), Sugar (4,29%), Aosa seaweed (3%), Salt (2,86%), Flavour enhancer (E621) (2,14%), Fermented seasoning (Glucose syrup, Rice, Alcohol, Rice koji, Salt) (1,79%), Soy sauce (Defatted soybean, Wheat, Salt, Sugar)(1,19%)</w:t>
            </w:r>
          </w:p>
        </w:tc>
      </w:tr>
      <w:tr w:rsidR="00B40218" w:rsidRPr="00471041" w14:paraId="158F258A" w14:textId="77777777" w:rsidTr="00E632C6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0B36260" w14:textId="77777777" w:rsidR="00B40218" w:rsidRPr="00C8313F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CD1BEBC" w14:textId="77777777" w:rsidR="00B40218" w:rsidRPr="00EF0824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8E32E4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Blé, Soja, Sésame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8E32E4">
              <w:rPr>
                <w:i/>
                <w:noProof/>
                <w:color w:val="2E74B5" w:themeColor="accent1" w:themeShade="BF"/>
                <w:sz w:val="20"/>
                <w:lang w:val="en-US"/>
              </w:rPr>
              <w:t>Wheat, Soybean, Sesame</w:t>
            </w:r>
          </w:p>
        </w:tc>
      </w:tr>
      <w:tr w:rsidR="00B40218" w:rsidRPr="00835A05" w14:paraId="3CD55B9E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8C4BD96" w14:textId="77777777" w:rsidR="00B40218" w:rsidRPr="007F78EC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EAA0D84" w14:textId="4526B1E2" w:rsidR="00B40218" w:rsidRPr="007F78EC" w:rsidRDefault="00B40218" w:rsidP="00B40218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24</w:t>
            </w:r>
            <w:r w:rsidRPr="008E32E4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 mois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24</w:t>
            </w:r>
            <w:r w:rsidRPr="008E32E4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 xml:space="preserve"> months</w:t>
            </w:r>
          </w:p>
        </w:tc>
      </w:tr>
      <w:tr w:rsidR="00B40218" w:rsidRPr="001841EA" w14:paraId="32DF0BCC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0288DFE" w14:textId="3A569E0A" w:rsidR="00B40218" w:rsidRPr="007F78EC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2083E">
              <w:rPr>
                <w:color w:val="000000"/>
                <w:sz w:val="19"/>
                <w:szCs w:val="19"/>
              </w:rPr>
              <w:t xml:space="preserve">Conservation avant ouverture / </w:t>
            </w:r>
            <w:r w:rsidRPr="0062083E">
              <w:rPr>
                <w:i/>
                <w:color w:val="2E74B5" w:themeColor="accent1" w:themeShade="BF"/>
                <w:sz w:val="19"/>
                <w:szCs w:val="19"/>
              </w:rPr>
              <w:t xml:space="preserve">Storage conditions </w:t>
            </w:r>
            <w:proofErr w:type="spellStart"/>
            <w:r w:rsidRPr="0062083E">
              <w:rPr>
                <w:i/>
                <w:color w:val="2E74B5" w:themeColor="accent1" w:themeShade="BF"/>
                <w:sz w:val="19"/>
                <w:szCs w:val="19"/>
              </w:rPr>
              <w:t>before</w:t>
            </w:r>
            <w:proofErr w:type="spellEnd"/>
            <w:r w:rsidRPr="0062083E">
              <w:rPr>
                <w:i/>
                <w:color w:val="2E74B5" w:themeColor="accent1" w:themeShade="BF"/>
                <w:sz w:val="19"/>
                <w:szCs w:val="19"/>
              </w:rPr>
              <w:t xml:space="preserve"> </w:t>
            </w:r>
            <w:proofErr w:type="spellStart"/>
            <w:r w:rsidRPr="0062083E">
              <w:rPr>
                <w:i/>
                <w:color w:val="2E74B5" w:themeColor="accent1" w:themeShade="BF"/>
                <w:sz w:val="19"/>
                <w:szCs w:val="19"/>
              </w:rPr>
              <w:t>opening</w:t>
            </w:r>
            <w:proofErr w:type="spellEnd"/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0EDC4210" w14:textId="337293C9" w:rsidR="00B40218" w:rsidRPr="00CF6843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2083E">
              <w:rPr>
                <w:rFonts w:eastAsia="Times New Roman" w:cs="Times New Roman"/>
                <w:noProof/>
                <w:color w:val="000000"/>
                <w:sz w:val="19"/>
                <w:szCs w:val="19"/>
              </w:rPr>
              <w:t>Conserver à température ambiante.</w:t>
            </w:r>
            <w:r w:rsidRPr="0062083E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/ </w:t>
            </w:r>
            <w:r w:rsidRPr="0062083E">
              <w:rPr>
                <w:rFonts w:eastAsia="Times New Roman" w:cs="Times New Roman"/>
                <w:i/>
                <w:noProof/>
                <w:color w:val="2E74B5" w:themeColor="accent1" w:themeShade="BF"/>
                <w:sz w:val="19"/>
                <w:szCs w:val="19"/>
              </w:rPr>
              <w:t>Keep at room temperature.</w:t>
            </w:r>
          </w:p>
        </w:tc>
      </w:tr>
      <w:tr w:rsidR="00B40218" w:rsidRPr="001841EA" w14:paraId="2FC917C5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1D45C7D" w14:textId="00EE656E" w:rsidR="00B40218" w:rsidRPr="007F78EC" w:rsidRDefault="00B40218" w:rsidP="00B40218">
            <w:pPr>
              <w:pStyle w:val="Sansinterligne"/>
              <w:rPr>
                <w:color w:val="000000"/>
                <w:sz w:val="20"/>
              </w:rPr>
            </w:pPr>
            <w:r w:rsidRPr="0062083E">
              <w:rPr>
                <w:sz w:val="19"/>
                <w:szCs w:val="19"/>
              </w:rPr>
              <w:t xml:space="preserve">Conservation après ouverture / </w:t>
            </w:r>
            <w:r w:rsidRPr="0062083E">
              <w:rPr>
                <w:rFonts w:eastAsia="Times New Roman" w:cs="Times New Roman"/>
                <w:i/>
                <w:iCs/>
                <w:color w:val="2F75B5"/>
                <w:sz w:val="19"/>
                <w:szCs w:val="19"/>
              </w:rPr>
              <w:t xml:space="preserve">Storage conditions </w:t>
            </w:r>
            <w:proofErr w:type="spellStart"/>
            <w:r w:rsidRPr="0062083E">
              <w:rPr>
                <w:rFonts w:eastAsia="Times New Roman" w:cs="Times New Roman"/>
                <w:i/>
                <w:iCs/>
                <w:color w:val="2F75B5"/>
                <w:sz w:val="19"/>
                <w:szCs w:val="19"/>
              </w:rPr>
              <w:t>after</w:t>
            </w:r>
            <w:proofErr w:type="spellEnd"/>
            <w:r w:rsidRPr="0062083E">
              <w:rPr>
                <w:rFonts w:eastAsia="Times New Roman" w:cs="Times New Roman"/>
                <w:i/>
                <w:iCs/>
                <w:color w:val="2F75B5"/>
                <w:sz w:val="19"/>
                <w:szCs w:val="19"/>
              </w:rPr>
              <w:t xml:space="preserve"> </w:t>
            </w:r>
            <w:proofErr w:type="spellStart"/>
            <w:r w:rsidRPr="0062083E">
              <w:rPr>
                <w:rFonts w:eastAsia="Times New Roman" w:cs="Times New Roman"/>
                <w:i/>
                <w:iCs/>
                <w:color w:val="2F75B5"/>
                <w:sz w:val="19"/>
                <w:szCs w:val="19"/>
              </w:rPr>
              <w:t>opening</w:t>
            </w:r>
            <w:proofErr w:type="spellEnd"/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AECF6E9" w14:textId="5E36D3F7" w:rsidR="00B40218" w:rsidRPr="00E632C6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2083E">
              <w:rPr>
                <w:rFonts w:eastAsia="Times New Roman" w:cs="Times New Roman"/>
                <w:noProof/>
                <w:sz w:val="19"/>
                <w:szCs w:val="19"/>
              </w:rPr>
              <w:t>Conserver à l'abri de la chaleur et de l'humidité, consommer rapidement.</w:t>
            </w:r>
            <w:r w:rsidRPr="0062083E">
              <w:rPr>
                <w:rFonts w:eastAsia="Times New Roman" w:cs="Times New Roman"/>
                <w:sz w:val="19"/>
                <w:szCs w:val="19"/>
              </w:rPr>
              <w:t xml:space="preserve"> / </w:t>
            </w:r>
            <w:r w:rsidRPr="0062083E">
              <w:rPr>
                <w:rFonts w:eastAsia="Times New Roman" w:cs="Times New Roman"/>
                <w:i/>
                <w:noProof/>
                <w:color w:val="2E74B5" w:themeColor="accent1" w:themeShade="BF"/>
                <w:sz w:val="19"/>
                <w:szCs w:val="19"/>
              </w:rPr>
              <w:t>Keep away from heat and moisture, consume soon.</w:t>
            </w:r>
          </w:p>
        </w:tc>
      </w:tr>
      <w:tr w:rsidR="00B40218" w:rsidRPr="00996056" w14:paraId="4C9EFB07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0A1B336" w14:textId="4613E1DA" w:rsidR="00B40218" w:rsidRPr="007F78EC" w:rsidRDefault="00B40218" w:rsidP="00B4021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62083E">
              <w:rPr>
                <w:sz w:val="19"/>
                <w:szCs w:val="19"/>
              </w:rPr>
              <w:t xml:space="preserve">Description / </w:t>
            </w:r>
            <w:r w:rsidRPr="0062083E">
              <w:rPr>
                <w:i/>
                <w:iCs/>
                <w:color w:val="2F75B5"/>
                <w:sz w:val="19"/>
                <w:szCs w:val="19"/>
              </w:rPr>
              <w:t>Description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666505DE" w14:textId="50360C1C" w:rsidR="00B40218" w:rsidRPr="00FD48FF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2083E">
              <w:rPr>
                <w:rFonts w:eastAsia="Times New Roman" w:cs="Times New Roman"/>
                <w:noProof/>
                <w:color w:val="000000"/>
                <w:sz w:val="19"/>
                <w:szCs w:val="19"/>
              </w:rPr>
              <w:t>Le furikake est un condiment japonais à base d’algue et de sésame qui se saupoudre traditionnellement sur le riz. /</w:t>
            </w:r>
            <w:r w:rsidRPr="0062083E">
              <w:rPr>
                <w:sz w:val="19"/>
                <w:szCs w:val="19"/>
              </w:rPr>
              <w:t xml:space="preserve"> </w:t>
            </w:r>
            <w:r w:rsidRPr="0062083E">
              <w:rPr>
                <w:rFonts w:eastAsia="Times New Roman" w:cs="Times New Roman"/>
                <w:i/>
                <w:noProof/>
                <w:color w:val="2E74B5" w:themeColor="accent1" w:themeShade="BF"/>
                <w:sz w:val="19"/>
                <w:szCs w:val="19"/>
              </w:rPr>
              <w:t>Furikake is a Japanese condiment made with seaweed and sesame traditionally sprinkled on top of rice.</w:t>
            </w:r>
            <w:r w:rsidRPr="0062083E">
              <w:rPr>
                <w:rFonts w:ascii="ArialNarrow" w:hAnsi="ArialNarrow" w:cs="ArialNarrow"/>
                <w:color w:val="585757"/>
                <w:sz w:val="19"/>
                <w:szCs w:val="19"/>
              </w:rPr>
              <w:t xml:space="preserve"> </w:t>
            </w:r>
          </w:p>
        </w:tc>
      </w:tr>
      <w:tr w:rsidR="00B40218" w:rsidRPr="00471041" w14:paraId="3C50D045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A110C2B" w14:textId="4F68B4B5" w:rsidR="00B40218" w:rsidRPr="007F78EC" w:rsidRDefault="00B40218" w:rsidP="00B40218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6098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B0C922E" w14:textId="59C3E15F" w:rsidR="00B40218" w:rsidRPr="00EF0824" w:rsidRDefault="00B40218" w:rsidP="00B40218">
            <w:pPr>
              <w:spacing w:after="0" w:line="240" w:lineRule="auto"/>
              <w:rPr>
                <w:lang w:val="en-US"/>
              </w:rPr>
            </w:pPr>
            <w:r w:rsidRPr="00273DE5">
              <w:rPr>
                <w:rFonts w:eastAsia="Times New Roman" w:cs="Times New Roman"/>
                <w:noProof/>
                <w:sz w:val="19"/>
                <w:szCs w:val="19"/>
              </w:rPr>
              <w:t xml:space="preserve">Ce furikake se saupoudre en touche finale sur toute sorte de plats tels que le riz mais aussi les pâtes, les viandes, les poissons ou encore le tofu. </w:t>
            </w:r>
            <w:r w:rsidRPr="00B40218">
              <w:rPr>
                <w:rFonts w:eastAsia="Times New Roman" w:cs="Times New Roman"/>
                <w:noProof/>
                <w:sz w:val="19"/>
                <w:szCs w:val="19"/>
                <w:lang w:val="en-US"/>
              </w:rPr>
              <w:t>Il pourra également s’utiliser pour enrober les onigiri.</w:t>
            </w:r>
            <w:r w:rsidRPr="00273DE5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/ </w:t>
            </w:r>
            <w:r w:rsidRPr="00B40218">
              <w:rPr>
                <w:rFonts w:eastAsia="Times New Roman" w:cs="Times New Roman"/>
                <w:i/>
                <w:noProof/>
                <w:color w:val="2E74B5" w:themeColor="accent1" w:themeShade="BF"/>
                <w:sz w:val="19"/>
                <w:szCs w:val="19"/>
                <w:lang w:val="en-US"/>
              </w:rPr>
              <w:t>This furikake can be sprinkled on various dishes as a final touch such as rice, pasta, meat, fish or even tofu. It can also be used as a coating for onigiri.</w:t>
            </w:r>
          </w:p>
        </w:tc>
      </w:tr>
      <w:tr w:rsidR="00B40218" w:rsidRPr="00471041" w14:paraId="5C5A933D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2AD94" w14:textId="77777777" w:rsidR="00B40218" w:rsidRPr="00EF0824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9B752" w14:textId="77777777" w:rsidR="00B40218" w:rsidRPr="00EF0824" w:rsidRDefault="00B40218" w:rsidP="00B4021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40218" w:rsidRPr="00835A05" w14:paraId="48DA8F33" w14:textId="77777777" w:rsidTr="00E632C6">
        <w:trPr>
          <w:trHeight w:val="272"/>
        </w:trPr>
        <w:tc>
          <w:tcPr>
            <w:tcW w:w="8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9CF82D3" w14:textId="77777777" w:rsidR="00B40218" w:rsidRPr="00835A05" w:rsidRDefault="00B40218" w:rsidP="00B40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Nutrition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facts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8E32E4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  <w:proofErr w:type="gramEnd"/>
          </w:p>
        </w:tc>
      </w:tr>
      <w:tr w:rsidR="00B40218" w:rsidRPr="00835A05" w14:paraId="45847AC5" w14:textId="77777777" w:rsidTr="00E632C6">
        <w:trPr>
          <w:trHeight w:val="257"/>
        </w:trPr>
        <w:tc>
          <w:tcPr>
            <w:tcW w:w="567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B47A5D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energy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value: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6E54D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2201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79890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526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B40218" w:rsidRPr="00835A05" w14:paraId="39671848" w14:textId="77777777" w:rsidTr="00E632C6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A2B9" w14:textId="743B908A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4DCD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39,4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1E8CF6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28AE4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25,8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B40218" w:rsidRPr="00835A05" w14:paraId="28C8275A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58A0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saturés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saturated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D22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5,8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B6E02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sucres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sugar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2675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B40218" w:rsidRPr="00835A05" w14:paraId="6611F9C6" w14:textId="77777777" w:rsidTr="00E632C6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9A8129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D717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4,8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49D54FC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proofErr w:type="spellStart"/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23A43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B40218" w:rsidRPr="00835A05" w14:paraId="7C34A7BD" w14:textId="77777777" w:rsidTr="00E632C6">
        <w:trPr>
          <w:trHeight w:val="272"/>
        </w:trPr>
        <w:tc>
          <w:tcPr>
            <w:tcW w:w="8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AA80E2D" w14:textId="77777777" w:rsidR="00B40218" w:rsidRPr="00835A05" w:rsidRDefault="00B40218" w:rsidP="00B402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informations</w:t>
            </w:r>
          </w:p>
        </w:tc>
      </w:tr>
      <w:tr w:rsidR="00B40218" w:rsidRPr="00835A05" w14:paraId="4C51FD7D" w14:textId="77777777" w:rsidTr="00E632C6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043C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2DF8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7311A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26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500g</w:t>
            </w:r>
          </w:p>
        </w:tc>
      </w:tr>
      <w:tr w:rsidR="00B40218" w:rsidRPr="00835A05" w14:paraId="04290847" w14:textId="77777777" w:rsidTr="00E632C6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7DA7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Gross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2FF4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520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F9E00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5F7D3CB1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3235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40218" w:rsidRPr="00835A05" w14:paraId="5FD76445" w14:textId="77777777" w:rsidTr="00E632C6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4A49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8B9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8CF8FA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86DC2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5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B40218" w:rsidRPr="00835A05" w14:paraId="53AE9B40" w14:textId="77777777" w:rsidTr="00E632C6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2E9F21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CB0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34,6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26,6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26,9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4D6F4C4" w14:textId="77777777" w:rsidR="00B40218" w:rsidRPr="00835A05" w:rsidRDefault="00B40218" w:rsidP="00B402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Brut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8BB1A" w14:textId="77777777" w:rsidR="00B40218" w:rsidRPr="00835A05" w:rsidRDefault="00B40218" w:rsidP="00B402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E32E4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5,6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1F49756A" w14:textId="66383B50" w:rsidR="00E632C6" w:rsidRPr="003A61E4" w:rsidRDefault="00E632C6" w:rsidP="00E632C6">
      <w:pPr>
        <w:ind w:right="141"/>
        <w:jc w:val="right"/>
        <w:rPr>
          <w:color w:val="2E74B5" w:themeColor="accent1" w:themeShade="BF"/>
        </w:rPr>
      </w:pPr>
      <w:r>
        <w:rPr>
          <w:sz w:val="20"/>
          <w:szCs w:val="20"/>
        </w:rPr>
        <w:t xml:space="preserve">Mis à jour : </w:t>
      </w:r>
      <w:r w:rsidR="00BA084C">
        <w:rPr>
          <w:sz w:val="20"/>
          <w:szCs w:val="20"/>
        </w:rPr>
        <w:t>1</w:t>
      </w:r>
      <w:r w:rsidR="00B40218">
        <w:rPr>
          <w:sz w:val="20"/>
          <w:szCs w:val="20"/>
        </w:rPr>
        <w:t>6</w:t>
      </w:r>
      <w:r>
        <w:rPr>
          <w:sz w:val="20"/>
          <w:szCs w:val="20"/>
        </w:rPr>
        <w:t>/</w:t>
      </w:r>
      <w:r w:rsidR="00BA084C">
        <w:rPr>
          <w:sz w:val="20"/>
          <w:szCs w:val="20"/>
        </w:rPr>
        <w:t>1</w:t>
      </w:r>
      <w:r w:rsidR="00B40218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BA084C">
        <w:rPr>
          <w:sz w:val="20"/>
          <w:szCs w:val="20"/>
        </w:rPr>
        <w:t>2</w:t>
      </w:r>
    </w:p>
    <w:p w14:paraId="0C4138F7" w14:textId="77777777" w:rsidR="00E632C6" w:rsidRPr="003A61E4" w:rsidRDefault="00E632C6" w:rsidP="00835A05">
      <w:pPr>
        <w:rPr>
          <w:color w:val="2E74B5" w:themeColor="accent1" w:themeShade="BF"/>
        </w:rPr>
      </w:pPr>
    </w:p>
    <w:sectPr w:rsidR="00E632C6" w:rsidRPr="003A61E4" w:rsidSect="00E632C6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936A" w14:textId="77777777" w:rsidR="005E090E" w:rsidRDefault="005E090E" w:rsidP="00835A05">
      <w:pPr>
        <w:spacing w:after="0" w:line="240" w:lineRule="auto"/>
      </w:pPr>
      <w:r>
        <w:separator/>
      </w:r>
    </w:p>
  </w:endnote>
  <w:endnote w:type="continuationSeparator" w:id="0">
    <w:p w14:paraId="0A0EB47A" w14:textId="77777777" w:rsidR="005E090E" w:rsidRDefault="005E090E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37FB" w14:textId="77777777" w:rsidR="00580338" w:rsidRPr="00835A05" w:rsidRDefault="00580338" w:rsidP="00835A05">
    <w:pPr>
      <w:pStyle w:val="Pieddepage"/>
      <w:jc w:val="center"/>
      <w:rPr>
        <w:sz w:val="18"/>
      </w:rPr>
    </w:pPr>
    <w:r w:rsidRPr="00835A05">
      <w:rPr>
        <w:sz w:val="18"/>
      </w:rPr>
      <w:t>UMAMI SAS – 2, avenue Jean Moulin 94120 Fontenay-sous-</w:t>
    </w:r>
    <w:r>
      <w:rPr>
        <w:sz w:val="18"/>
      </w:rPr>
      <w:t>B</w:t>
    </w:r>
    <w:r w:rsidRPr="00835A05">
      <w:rPr>
        <w:sz w:val="18"/>
      </w:rPr>
      <w:t>ois, France</w:t>
    </w:r>
  </w:p>
  <w:p w14:paraId="4DB28E7F" w14:textId="77777777" w:rsidR="00580338" w:rsidRPr="00290ECF" w:rsidRDefault="00580338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561170C8" w14:textId="77777777" w:rsidR="00580338" w:rsidRPr="00835A05" w:rsidRDefault="00580338" w:rsidP="00835A05">
    <w:pPr>
      <w:pStyle w:val="Pieddepage"/>
      <w:jc w:val="center"/>
      <w:rPr>
        <w:sz w:val="18"/>
      </w:rPr>
    </w:pPr>
    <w:r>
      <w:rPr>
        <w:sz w:val="18"/>
      </w:rPr>
      <w:t>SAS au capital de 42</w:t>
    </w:r>
    <w:r w:rsidRPr="00835A05">
      <w:rPr>
        <w:sz w:val="18"/>
      </w:rPr>
      <w:t>5 000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AD8B" w14:textId="77777777" w:rsidR="005E090E" w:rsidRDefault="005E090E" w:rsidP="00835A05">
      <w:pPr>
        <w:spacing w:after="0" w:line="240" w:lineRule="auto"/>
      </w:pPr>
      <w:r>
        <w:separator/>
      </w:r>
    </w:p>
  </w:footnote>
  <w:footnote w:type="continuationSeparator" w:id="0">
    <w:p w14:paraId="18E23B26" w14:textId="77777777" w:rsidR="005E090E" w:rsidRDefault="005E090E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D865" w14:textId="77777777" w:rsidR="00580338" w:rsidRDefault="00580338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2D7CF253" wp14:editId="2D692109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5"/>
    <w:rsid w:val="00012183"/>
    <w:rsid w:val="00013BC8"/>
    <w:rsid w:val="000277DA"/>
    <w:rsid w:val="00065D0C"/>
    <w:rsid w:val="00077676"/>
    <w:rsid w:val="00081919"/>
    <w:rsid w:val="00096421"/>
    <w:rsid w:val="000A0EB0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338A0"/>
    <w:rsid w:val="00143E71"/>
    <w:rsid w:val="001752E9"/>
    <w:rsid w:val="00176F13"/>
    <w:rsid w:val="00177D4D"/>
    <w:rsid w:val="00177E9D"/>
    <w:rsid w:val="001841EA"/>
    <w:rsid w:val="001A1093"/>
    <w:rsid w:val="001A7705"/>
    <w:rsid w:val="001B5C5E"/>
    <w:rsid w:val="001E2AA0"/>
    <w:rsid w:val="001E40A4"/>
    <w:rsid w:val="001F136A"/>
    <w:rsid w:val="00230451"/>
    <w:rsid w:val="00233AA7"/>
    <w:rsid w:val="002404CC"/>
    <w:rsid w:val="00247A84"/>
    <w:rsid w:val="00252E27"/>
    <w:rsid w:val="002679C3"/>
    <w:rsid w:val="00285FE8"/>
    <w:rsid w:val="00290ECF"/>
    <w:rsid w:val="002B057E"/>
    <w:rsid w:val="002B5290"/>
    <w:rsid w:val="002D13ED"/>
    <w:rsid w:val="002E2F42"/>
    <w:rsid w:val="00303997"/>
    <w:rsid w:val="003307F6"/>
    <w:rsid w:val="00330AB6"/>
    <w:rsid w:val="003358DA"/>
    <w:rsid w:val="003828ED"/>
    <w:rsid w:val="0038631F"/>
    <w:rsid w:val="003968B6"/>
    <w:rsid w:val="00397B12"/>
    <w:rsid w:val="003A61E4"/>
    <w:rsid w:val="003B6644"/>
    <w:rsid w:val="003D1890"/>
    <w:rsid w:val="003E1023"/>
    <w:rsid w:val="00425675"/>
    <w:rsid w:val="004545FD"/>
    <w:rsid w:val="004659C4"/>
    <w:rsid w:val="00471041"/>
    <w:rsid w:val="004726F3"/>
    <w:rsid w:val="004A1EAB"/>
    <w:rsid w:val="004C5F4B"/>
    <w:rsid w:val="004F4030"/>
    <w:rsid w:val="0051222D"/>
    <w:rsid w:val="0052059B"/>
    <w:rsid w:val="005456FF"/>
    <w:rsid w:val="00554429"/>
    <w:rsid w:val="0057704C"/>
    <w:rsid w:val="00580338"/>
    <w:rsid w:val="00584488"/>
    <w:rsid w:val="005A7ABA"/>
    <w:rsid w:val="005B45B3"/>
    <w:rsid w:val="005B5A18"/>
    <w:rsid w:val="005D12D5"/>
    <w:rsid w:val="005E090E"/>
    <w:rsid w:val="005E6279"/>
    <w:rsid w:val="005F511A"/>
    <w:rsid w:val="006666DB"/>
    <w:rsid w:val="00674125"/>
    <w:rsid w:val="006C643E"/>
    <w:rsid w:val="006D09BA"/>
    <w:rsid w:val="006D0F85"/>
    <w:rsid w:val="007116AF"/>
    <w:rsid w:val="00725B94"/>
    <w:rsid w:val="007343F4"/>
    <w:rsid w:val="0075004D"/>
    <w:rsid w:val="007665B5"/>
    <w:rsid w:val="00772EFB"/>
    <w:rsid w:val="00791014"/>
    <w:rsid w:val="00796E3F"/>
    <w:rsid w:val="00797751"/>
    <w:rsid w:val="007A52A2"/>
    <w:rsid w:val="007B3F18"/>
    <w:rsid w:val="007B73C4"/>
    <w:rsid w:val="007F78EC"/>
    <w:rsid w:val="00801E19"/>
    <w:rsid w:val="00821FCF"/>
    <w:rsid w:val="00833211"/>
    <w:rsid w:val="00835A05"/>
    <w:rsid w:val="00843661"/>
    <w:rsid w:val="008660CB"/>
    <w:rsid w:val="008A6DFE"/>
    <w:rsid w:val="008B4A0C"/>
    <w:rsid w:val="008C2EC5"/>
    <w:rsid w:val="008C43E4"/>
    <w:rsid w:val="008E60E1"/>
    <w:rsid w:val="008F1E33"/>
    <w:rsid w:val="009010CC"/>
    <w:rsid w:val="00907902"/>
    <w:rsid w:val="00925C55"/>
    <w:rsid w:val="009510DE"/>
    <w:rsid w:val="00963852"/>
    <w:rsid w:val="00996056"/>
    <w:rsid w:val="0099660B"/>
    <w:rsid w:val="009A09E6"/>
    <w:rsid w:val="009B423A"/>
    <w:rsid w:val="009C567A"/>
    <w:rsid w:val="009D731E"/>
    <w:rsid w:val="009F4B31"/>
    <w:rsid w:val="009F793E"/>
    <w:rsid w:val="00A16D25"/>
    <w:rsid w:val="00A400A3"/>
    <w:rsid w:val="00A47B93"/>
    <w:rsid w:val="00A518B6"/>
    <w:rsid w:val="00A634B3"/>
    <w:rsid w:val="00A703F0"/>
    <w:rsid w:val="00A779A6"/>
    <w:rsid w:val="00A91EF1"/>
    <w:rsid w:val="00AD1819"/>
    <w:rsid w:val="00AF4CFD"/>
    <w:rsid w:val="00B06B8E"/>
    <w:rsid w:val="00B27070"/>
    <w:rsid w:val="00B40218"/>
    <w:rsid w:val="00B56DBA"/>
    <w:rsid w:val="00B633AC"/>
    <w:rsid w:val="00B85A93"/>
    <w:rsid w:val="00B85C9B"/>
    <w:rsid w:val="00B87F60"/>
    <w:rsid w:val="00B95906"/>
    <w:rsid w:val="00BA084C"/>
    <w:rsid w:val="00C42389"/>
    <w:rsid w:val="00C53D95"/>
    <w:rsid w:val="00C8313F"/>
    <w:rsid w:val="00C870B1"/>
    <w:rsid w:val="00C9406B"/>
    <w:rsid w:val="00CA6791"/>
    <w:rsid w:val="00CA7BF8"/>
    <w:rsid w:val="00CD68A3"/>
    <w:rsid w:val="00CF58C8"/>
    <w:rsid w:val="00CF6843"/>
    <w:rsid w:val="00D00900"/>
    <w:rsid w:val="00D12139"/>
    <w:rsid w:val="00D53A75"/>
    <w:rsid w:val="00D81A90"/>
    <w:rsid w:val="00D916D9"/>
    <w:rsid w:val="00D9181B"/>
    <w:rsid w:val="00DE2EE5"/>
    <w:rsid w:val="00E00A26"/>
    <w:rsid w:val="00E36074"/>
    <w:rsid w:val="00E632C6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4249F"/>
    <w:rsid w:val="00F850EE"/>
    <w:rsid w:val="00F87B54"/>
    <w:rsid w:val="00FA0CB2"/>
    <w:rsid w:val="00FA25CB"/>
    <w:rsid w:val="00FA297B"/>
    <w:rsid w:val="00FA725B"/>
    <w:rsid w:val="00FC7902"/>
    <w:rsid w:val="00FD48FF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C3EF7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7564B-8AB2-4A45-A7D3-0609A6935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37E5E-F096-4593-9416-2577A3DDA4F9}"/>
</file>

<file path=customXml/itemProps3.xml><?xml version="1.0" encoding="utf-8"?>
<ds:datastoreItem xmlns:ds="http://schemas.openxmlformats.org/officeDocument/2006/customXml" ds:itemID="{E3A2B82F-E8B0-402B-AF8B-DBDEC8666FC6}"/>
</file>

<file path=customXml/itemProps4.xml><?xml version="1.0" encoding="utf-8"?>
<ds:datastoreItem xmlns:ds="http://schemas.openxmlformats.org/officeDocument/2006/customXml" ds:itemID="{E0C4BC2A-88CE-4FC5-A533-5FC8E77A6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4</cp:revision>
  <dcterms:created xsi:type="dcterms:W3CDTF">2021-08-20T14:05:00Z</dcterms:created>
  <dcterms:modified xsi:type="dcterms:W3CDTF">2022-12-16T17:06:00Z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